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C3" w:rsidRPr="006161AB" w:rsidRDefault="00B564C3" w:rsidP="00B5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161AB">
        <w:rPr>
          <w:rFonts w:ascii="Arial" w:hAnsi="Arial" w:cs="Arial"/>
          <w:b/>
          <w:sz w:val="28"/>
          <w:szCs w:val="28"/>
        </w:rPr>
        <w:t>TEACHER ACADEMY OF MARYLAND</w:t>
      </w:r>
    </w:p>
    <w:p w:rsidR="00B564C3" w:rsidRPr="00F60BD5" w:rsidRDefault="00B564C3" w:rsidP="00B5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564C3" w:rsidRPr="00F60BD5" w:rsidRDefault="00B564C3" w:rsidP="00B5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60BD5">
        <w:rPr>
          <w:rFonts w:ascii="Arial" w:hAnsi="Arial" w:cs="Arial"/>
          <w:b/>
          <w:sz w:val="28"/>
          <w:szCs w:val="28"/>
        </w:rPr>
        <w:t>CAREER AND TECHNOLOGY EDUCATION PROGRAM OF STUDY</w:t>
      </w:r>
    </w:p>
    <w:p w:rsidR="00B564C3" w:rsidRPr="00F60BD5" w:rsidRDefault="00B564C3" w:rsidP="00B5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564C3" w:rsidRPr="006161AB" w:rsidRDefault="00B564C3" w:rsidP="00B56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161AB">
        <w:rPr>
          <w:rFonts w:ascii="Arial" w:hAnsi="Arial" w:cs="Arial"/>
          <w:b/>
          <w:sz w:val="28"/>
          <w:szCs w:val="28"/>
        </w:rPr>
        <w:t>FACT SHEET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b/>
          <w:sz w:val="22"/>
          <w:szCs w:val="22"/>
          <w:u w:val="single"/>
        </w:rPr>
        <w:t>Background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The Teacher Academy of Maryland (TAM) is a state-approved Career and Technology Education (CTE) Program of Study (POS).  It was developed in 2004 – 2005 with representatives from:  local school systems; community colleges; baccalaureate degree granting institutions; the Maryland Higher Education Commission; the University System of Maryland; and the Maryland State Department of Education through two areas:  the Division of Career and College Readiness, and the Division of Educator Effectiveness.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rPr>
          <w:rFonts w:ascii="Arial" w:hAnsi="Arial" w:cs="Arial"/>
          <w:b/>
          <w:sz w:val="22"/>
          <w:szCs w:val="22"/>
          <w:u w:val="single"/>
        </w:rPr>
      </w:pPr>
      <w:r w:rsidRPr="00F60BD5">
        <w:rPr>
          <w:rFonts w:ascii="Arial" w:hAnsi="Arial" w:cs="Arial"/>
          <w:b/>
          <w:sz w:val="22"/>
          <w:szCs w:val="22"/>
          <w:u w:val="single"/>
        </w:rPr>
        <w:t>The Teacher Academy of Maryland Program</w:t>
      </w:r>
    </w:p>
    <w:p w:rsidR="00B564C3" w:rsidRPr="00F60BD5" w:rsidRDefault="00B564C3" w:rsidP="00B564C3">
      <w:pPr>
        <w:rPr>
          <w:rFonts w:ascii="Arial" w:hAnsi="Arial" w:cs="Arial"/>
          <w:b/>
          <w:sz w:val="22"/>
          <w:szCs w:val="22"/>
          <w:u w:val="single"/>
        </w:rPr>
      </w:pPr>
    </w:p>
    <w:p w:rsidR="00B564C3" w:rsidRPr="00F60BD5" w:rsidRDefault="00B564C3" w:rsidP="00B564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Prepares high school students for further education and careers in the education profession</w:t>
      </w:r>
    </w:p>
    <w:p w:rsidR="00B564C3" w:rsidRPr="00F60BD5" w:rsidRDefault="00B564C3" w:rsidP="00B564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Aligns with the Interstate Teacher Assessment and Support Consortium (</w:t>
      </w:r>
      <w:proofErr w:type="spellStart"/>
      <w:r w:rsidRPr="00F60BD5">
        <w:rPr>
          <w:rFonts w:ascii="Arial" w:hAnsi="Arial" w:cs="Arial"/>
          <w:sz w:val="22"/>
          <w:szCs w:val="22"/>
        </w:rPr>
        <w:t>InTASC</w:t>
      </w:r>
      <w:proofErr w:type="spellEnd"/>
      <w:r w:rsidRPr="00F60BD5">
        <w:rPr>
          <w:rFonts w:ascii="Arial" w:hAnsi="Arial" w:cs="Arial"/>
          <w:sz w:val="22"/>
          <w:szCs w:val="22"/>
        </w:rPr>
        <w:t>) and Maryland Essential Dimensions of Teaching (</w:t>
      </w:r>
      <w:proofErr w:type="spellStart"/>
      <w:r w:rsidRPr="00F60BD5">
        <w:rPr>
          <w:rFonts w:ascii="Arial" w:hAnsi="Arial" w:cs="Arial"/>
          <w:sz w:val="22"/>
          <w:szCs w:val="22"/>
        </w:rPr>
        <w:t>EdoTs</w:t>
      </w:r>
      <w:proofErr w:type="spellEnd"/>
      <w:r w:rsidRPr="00F60BD5">
        <w:rPr>
          <w:rFonts w:ascii="Arial" w:hAnsi="Arial" w:cs="Arial"/>
          <w:sz w:val="22"/>
          <w:szCs w:val="22"/>
        </w:rPr>
        <w:t>)</w:t>
      </w:r>
    </w:p>
    <w:p w:rsidR="00B564C3" w:rsidRPr="00F60BD5" w:rsidRDefault="00B564C3" w:rsidP="00B564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Is based on the outcomes of the Maryland Associate of Arts in Teaching (A.A.T.) degree which aligns with National Council for the Accreditation for Teacher Education (NCATE) standards</w:t>
      </w:r>
      <w:r w:rsidR="009B102E">
        <w:rPr>
          <w:rFonts w:ascii="Arial" w:hAnsi="Arial" w:cs="Arial"/>
          <w:sz w:val="22"/>
          <w:szCs w:val="22"/>
        </w:rPr>
        <w:t xml:space="preserve"> which consolidated into the Council for the Accreditation of Education Preparation (CAEP)</w:t>
      </w:r>
    </w:p>
    <w:p w:rsidR="00B564C3" w:rsidRPr="00F60BD5" w:rsidRDefault="00B564C3" w:rsidP="00B564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 xml:space="preserve">Culminates in an internship where students integrate content and pedagogical knowledge in </w:t>
      </w:r>
      <w:proofErr w:type="gramStart"/>
      <w:r w:rsidRPr="00F60BD5">
        <w:rPr>
          <w:rFonts w:ascii="Arial" w:hAnsi="Arial" w:cs="Arial"/>
          <w:sz w:val="22"/>
          <w:szCs w:val="22"/>
        </w:rPr>
        <w:t>an</w:t>
      </w:r>
      <w:proofErr w:type="gramEnd"/>
      <w:r w:rsidRPr="00F60BD5">
        <w:rPr>
          <w:rFonts w:ascii="Arial" w:hAnsi="Arial" w:cs="Arial"/>
          <w:sz w:val="22"/>
          <w:szCs w:val="22"/>
        </w:rPr>
        <w:t xml:space="preserve"> educational area of interest in a critical shortage area</w:t>
      </w:r>
    </w:p>
    <w:p w:rsidR="00B564C3" w:rsidRPr="00F60BD5" w:rsidRDefault="00B564C3" w:rsidP="00B564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Offers students opportunities to extend and apply their knowledge about teaching in a classroom setting under the supervision of a mentor teacher</w:t>
      </w:r>
    </w:p>
    <w:p w:rsidR="00B564C3" w:rsidRPr="00F60BD5" w:rsidRDefault="00B564C3" w:rsidP="00B564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Requires students to prepare a working portfolio during the Internship</w:t>
      </w:r>
    </w:p>
    <w:p w:rsidR="00B564C3" w:rsidRPr="00F60BD5" w:rsidRDefault="00B564C3" w:rsidP="00B564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 xml:space="preserve">Uses </w:t>
      </w:r>
      <w:proofErr w:type="spellStart"/>
      <w:r w:rsidRPr="00F60BD5">
        <w:rPr>
          <w:rFonts w:ascii="Arial" w:hAnsi="Arial" w:cs="Arial"/>
          <w:i/>
          <w:iCs/>
          <w:sz w:val="22"/>
          <w:szCs w:val="22"/>
        </w:rPr>
        <w:t>ParaPro</w:t>
      </w:r>
      <w:proofErr w:type="spellEnd"/>
      <w:r w:rsidRPr="00F60BD5">
        <w:rPr>
          <w:rFonts w:ascii="Arial" w:hAnsi="Arial" w:cs="Arial"/>
          <w:sz w:val="22"/>
          <w:szCs w:val="22"/>
        </w:rPr>
        <w:t xml:space="preserve"> as the industry-recognized certification/credentialing exam</w:t>
      </w:r>
    </w:p>
    <w:p w:rsidR="00B564C3" w:rsidRPr="00F60BD5" w:rsidRDefault="00B564C3" w:rsidP="00B564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 xml:space="preserve">Encourages students to take the SAT and </w:t>
      </w:r>
      <w:proofErr w:type="spellStart"/>
      <w:r w:rsidRPr="00F60BD5">
        <w:rPr>
          <w:rFonts w:ascii="Arial" w:hAnsi="Arial" w:cs="Arial"/>
          <w:sz w:val="22"/>
          <w:szCs w:val="22"/>
        </w:rPr>
        <w:t>PraxisCORE</w:t>
      </w:r>
      <w:proofErr w:type="spellEnd"/>
      <w:r w:rsidRPr="00F60BD5">
        <w:rPr>
          <w:rFonts w:ascii="Arial" w:hAnsi="Arial" w:cs="Arial"/>
          <w:sz w:val="22"/>
          <w:szCs w:val="22"/>
        </w:rPr>
        <w:t xml:space="preserve"> (formerly Praxis I)</w:t>
      </w:r>
    </w:p>
    <w:p w:rsidR="00B564C3" w:rsidRPr="00F60BD5" w:rsidRDefault="00B564C3" w:rsidP="00B564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Has the Educators Rising (formerly Future Educators Association) as the recommended student organization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b/>
          <w:sz w:val="22"/>
          <w:szCs w:val="22"/>
          <w:u w:val="single"/>
        </w:rPr>
        <w:t>School Systems that offer TAM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C97557" w:rsidP="00B564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 is offered in 21</w:t>
      </w:r>
      <w:r w:rsidR="00B564C3" w:rsidRPr="00F60BD5">
        <w:rPr>
          <w:rFonts w:ascii="Arial" w:hAnsi="Arial" w:cs="Arial"/>
          <w:sz w:val="22"/>
          <w:szCs w:val="22"/>
        </w:rPr>
        <w:t xml:space="preserve"> of Maryland’s 24 school systems: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954"/>
        <w:gridCol w:w="4676"/>
      </w:tblGrid>
      <w:tr w:rsidR="00C97557" w:rsidRPr="00F60BD5" w:rsidTr="00807AE8">
        <w:tc>
          <w:tcPr>
            <w:tcW w:w="4954" w:type="dxa"/>
          </w:tcPr>
          <w:p w:rsidR="00C97557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Allegany County Public Schools</w:t>
            </w:r>
          </w:p>
        </w:tc>
        <w:tc>
          <w:tcPr>
            <w:tcW w:w="4676" w:type="dxa"/>
          </w:tcPr>
          <w:p w:rsidR="00C97557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Harford County Public Schools</w:t>
            </w:r>
          </w:p>
        </w:tc>
      </w:tr>
      <w:tr w:rsidR="00B564C3" w:rsidRPr="00F60BD5" w:rsidTr="00807AE8">
        <w:tc>
          <w:tcPr>
            <w:tcW w:w="4954" w:type="dxa"/>
          </w:tcPr>
          <w:p w:rsidR="00B564C3" w:rsidRPr="00F60BD5" w:rsidRDefault="00B564C3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Baltimore City Public Schools</w:t>
            </w:r>
          </w:p>
        </w:tc>
        <w:tc>
          <w:tcPr>
            <w:tcW w:w="4676" w:type="dxa"/>
          </w:tcPr>
          <w:p w:rsidR="00B564C3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Howard County Public Schools</w:t>
            </w:r>
          </w:p>
        </w:tc>
      </w:tr>
      <w:tr w:rsidR="00B564C3" w:rsidRPr="00F60BD5" w:rsidTr="00807AE8">
        <w:tc>
          <w:tcPr>
            <w:tcW w:w="4954" w:type="dxa"/>
          </w:tcPr>
          <w:p w:rsidR="00B564C3" w:rsidRPr="00F60BD5" w:rsidRDefault="00B564C3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Baltimore County Public Schools</w:t>
            </w:r>
          </w:p>
        </w:tc>
        <w:tc>
          <w:tcPr>
            <w:tcW w:w="4676" w:type="dxa"/>
          </w:tcPr>
          <w:p w:rsidR="00B564C3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Kent County Public Schools</w:t>
            </w:r>
          </w:p>
        </w:tc>
      </w:tr>
      <w:tr w:rsidR="00B564C3" w:rsidRPr="00F60BD5" w:rsidTr="00807AE8">
        <w:tc>
          <w:tcPr>
            <w:tcW w:w="4954" w:type="dxa"/>
          </w:tcPr>
          <w:p w:rsidR="00B564C3" w:rsidRPr="00F60BD5" w:rsidRDefault="00B564C3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Calvert County Public Schools</w:t>
            </w:r>
          </w:p>
        </w:tc>
        <w:tc>
          <w:tcPr>
            <w:tcW w:w="4676" w:type="dxa"/>
          </w:tcPr>
          <w:p w:rsidR="00B564C3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Prince George’s County Public Schools</w:t>
            </w:r>
          </w:p>
        </w:tc>
      </w:tr>
      <w:tr w:rsidR="00B564C3" w:rsidRPr="00F60BD5" w:rsidTr="00807AE8">
        <w:tc>
          <w:tcPr>
            <w:tcW w:w="4954" w:type="dxa"/>
          </w:tcPr>
          <w:p w:rsidR="00B564C3" w:rsidRPr="00F60BD5" w:rsidRDefault="00B564C3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Caroline County Public Schools</w:t>
            </w:r>
          </w:p>
        </w:tc>
        <w:tc>
          <w:tcPr>
            <w:tcW w:w="4676" w:type="dxa"/>
          </w:tcPr>
          <w:p w:rsidR="00B564C3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Queen Anne’s County Public Schools</w:t>
            </w:r>
          </w:p>
        </w:tc>
      </w:tr>
      <w:tr w:rsidR="00B564C3" w:rsidRPr="00F60BD5" w:rsidTr="00807AE8">
        <w:tc>
          <w:tcPr>
            <w:tcW w:w="4954" w:type="dxa"/>
          </w:tcPr>
          <w:p w:rsidR="00B564C3" w:rsidRPr="00F60BD5" w:rsidRDefault="00B564C3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Carroll County Public Schools</w:t>
            </w:r>
          </w:p>
        </w:tc>
        <w:tc>
          <w:tcPr>
            <w:tcW w:w="4676" w:type="dxa"/>
          </w:tcPr>
          <w:p w:rsidR="00B564C3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St. Mary’s County Public Schools</w:t>
            </w:r>
          </w:p>
        </w:tc>
      </w:tr>
      <w:tr w:rsidR="00B564C3" w:rsidRPr="00F60BD5" w:rsidTr="00807AE8">
        <w:tc>
          <w:tcPr>
            <w:tcW w:w="4954" w:type="dxa"/>
          </w:tcPr>
          <w:p w:rsidR="00B564C3" w:rsidRPr="00F60BD5" w:rsidRDefault="00B564C3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Cecil County Public Schools</w:t>
            </w:r>
          </w:p>
        </w:tc>
        <w:tc>
          <w:tcPr>
            <w:tcW w:w="4676" w:type="dxa"/>
          </w:tcPr>
          <w:p w:rsidR="00B564C3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Somerset County Public Schools</w:t>
            </w:r>
          </w:p>
        </w:tc>
      </w:tr>
      <w:tr w:rsidR="00B564C3" w:rsidRPr="00F60BD5" w:rsidTr="00807AE8">
        <w:tc>
          <w:tcPr>
            <w:tcW w:w="4954" w:type="dxa"/>
          </w:tcPr>
          <w:p w:rsidR="00B564C3" w:rsidRPr="00F60BD5" w:rsidRDefault="00B564C3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Charles County Public Schools</w:t>
            </w:r>
          </w:p>
        </w:tc>
        <w:tc>
          <w:tcPr>
            <w:tcW w:w="4676" w:type="dxa"/>
          </w:tcPr>
          <w:p w:rsidR="00B564C3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Talbot County Public Schools</w:t>
            </w:r>
          </w:p>
        </w:tc>
      </w:tr>
      <w:tr w:rsidR="00B564C3" w:rsidRPr="00F60BD5" w:rsidTr="00807AE8">
        <w:tc>
          <w:tcPr>
            <w:tcW w:w="4954" w:type="dxa"/>
          </w:tcPr>
          <w:p w:rsidR="00B564C3" w:rsidRPr="00F60BD5" w:rsidRDefault="00B564C3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Dorchester County Public Schools</w:t>
            </w:r>
          </w:p>
        </w:tc>
        <w:tc>
          <w:tcPr>
            <w:tcW w:w="4676" w:type="dxa"/>
          </w:tcPr>
          <w:p w:rsidR="00B564C3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Washington County Public Schools</w:t>
            </w:r>
          </w:p>
        </w:tc>
      </w:tr>
      <w:tr w:rsidR="00B564C3" w:rsidRPr="00F60BD5" w:rsidTr="00807AE8">
        <w:tc>
          <w:tcPr>
            <w:tcW w:w="4954" w:type="dxa"/>
          </w:tcPr>
          <w:p w:rsidR="00B564C3" w:rsidRPr="00F60BD5" w:rsidRDefault="00B564C3" w:rsidP="00807AE8">
            <w:pPr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Frederick County Public Schools</w:t>
            </w:r>
          </w:p>
        </w:tc>
        <w:tc>
          <w:tcPr>
            <w:tcW w:w="4676" w:type="dxa"/>
          </w:tcPr>
          <w:p w:rsidR="00B564C3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Wicomico County Public Schools</w:t>
            </w:r>
          </w:p>
        </w:tc>
      </w:tr>
      <w:tr w:rsidR="00C97557" w:rsidRPr="00F60BD5" w:rsidTr="00807AE8">
        <w:tc>
          <w:tcPr>
            <w:tcW w:w="4954" w:type="dxa"/>
          </w:tcPr>
          <w:p w:rsidR="00C97557" w:rsidRPr="00F60BD5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:rsidR="00C97557" w:rsidRDefault="00C97557" w:rsidP="00807A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Worcester County Public Schools</w:t>
            </w:r>
          </w:p>
        </w:tc>
      </w:tr>
    </w:tbl>
    <w:p w:rsidR="00B564C3" w:rsidRPr="00F60BD5" w:rsidRDefault="00B564C3" w:rsidP="00B564C3">
      <w:pPr>
        <w:rPr>
          <w:rFonts w:ascii="Arial" w:hAnsi="Arial" w:cs="Arial"/>
          <w:b/>
          <w:sz w:val="22"/>
          <w:szCs w:val="22"/>
          <w:u w:val="single"/>
        </w:rPr>
      </w:pPr>
      <w:r w:rsidRPr="00F60BD5">
        <w:rPr>
          <w:rFonts w:ascii="Arial" w:hAnsi="Arial" w:cs="Arial"/>
          <w:b/>
          <w:sz w:val="22"/>
          <w:szCs w:val="22"/>
          <w:u w:val="single"/>
        </w:rPr>
        <w:lastRenderedPageBreak/>
        <w:t>TAM Four Credit Course Sequence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Human Growth and Development through Adolescence</w:t>
      </w:r>
    </w:p>
    <w:p w:rsidR="00B564C3" w:rsidRPr="00F60BD5" w:rsidRDefault="00B564C3" w:rsidP="00B564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Teaching as a Profession</w:t>
      </w:r>
    </w:p>
    <w:p w:rsidR="00B564C3" w:rsidRPr="00F60BD5" w:rsidRDefault="00B564C3" w:rsidP="00B564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Foundations of Curriculum and Instruction</w:t>
      </w:r>
    </w:p>
    <w:p w:rsidR="00B564C3" w:rsidRPr="00F60BD5" w:rsidRDefault="00B564C3" w:rsidP="00B564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Education Academy Internship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b/>
          <w:sz w:val="22"/>
          <w:szCs w:val="22"/>
          <w:u w:val="single"/>
        </w:rPr>
        <w:t>TAM Instructor Requirements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Hold a Maryland Professional Teaching Certificate (Standard Professional or Advanced Professional)</w:t>
      </w:r>
    </w:p>
    <w:p w:rsidR="00B564C3" w:rsidRPr="00F60BD5" w:rsidRDefault="00B564C3" w:rsidP="00B564C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 xml:space="preserve">Have a Master’s degree, Master’s equivalent, or 18 hours credit towards a Master’s degree </w:t>
      </w:r>
    </w:p>
    <w:p w:rsidR="00B564C3" w:rsidRPr="00F60BD5" w:rsidRDefault="00B564C3" w:rsidP="00B564C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Have three years of successful teaching experience</w:t>
      </w:r>
    </w:p>
    <w:p w:rsidR="00B564C3" w:rsidRPr="00F60BD5" w:rsidRDefault="00B564C3" w:rsidP="00B564C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Obtain the recommendation of their principal or CTE supervisor</w:t>
      </w:r>
    </w:p>
    <w:p w:rsidR="00B564C3" w:rsidRPr="00F60BD5" w:rsidRDefault="00B564C3" w:rsidP="00B564C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Attend the TAM Summer Professional Development Leadership Institute or an approved alternative professional development, prior to teaching TAM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b/>
          <w:sz w:val="22"/>
          <w:szCs w:val="22"/>
          <w:u w:val="single"/>
        </w:rPr>
        <w:t>Statewide Articulation Agreements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Default="00B564C3" w:rsidP="00B564C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i/>
          <w:sz w:val="22"/>
          <w:szCs w:val="22"/>
        </w:rPr>
        <w:t>Towson University</w:t>
      </w:r>
      <w:r w:rsidRPr="00F60BD5">
        <w:rPr>
          <w:rFonts w:ascii="Arial" w:hAnsi="Arial" w:cs="Arial"/>
          <w:sz w:val="22"/>
          <w:szCs w:val="22"/>
        </w:rPr>
        <w:t xml:space="preserve"> – three credits for EDUC 202 Historical Contemporary Perspectives on America’s Urban Schools</w:t>
      </w:r>
    </w:p>
    <w:p w:rsidR="00B564C3" w:rsidRDefault="00B564C3" w:rsidP="00B564C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i/>
          <w:sz w:val="22"/>
          <w:szCs w:val="22"/>
        </w:rPr>
        <w:t>Stevenson University</w:t>
      </w:r>
      <w:r w:rsidRPr="00F60BD5">
        <w:rPr>
          <w:rFonts w:ascii="Arial" w:hAnsi="Arial" w:cs="Arial"/>
          <w:sz w:val="22"/>
          <w:szCs w:val="22"/>
        </w:rPr>
        <w:t xml:space="preserve"> – three credits for PSY 206 Child Growth and Development</w:t>
      </w:r>
    </w:p>
    <w:p w:rsidR="00B564C3" w:rsidRPr="00F60BD5" w:rsidRDefault="00B564C3" w:rsidP="00B564C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i/>
          <w:sz w:val="22"/>
          <w:szCs w:val="22"/>
        </w:rPr>
        <w:t>Coppin State University</w:t>
      </w:r>
      <w:r w:rsidRPr="00F60BD5">
        <w:rPr>
          <w:rFonts w:ascii="Arial" w:hAnsi="Arial" w:cs="Arial"/>
          <w:sz w:val="22"/>
          <w:szCs w:val="22"/>
        </w:rPr>
        <w:t xml:space="preserve"> – three credits for EDUC 200 History of Education</w:t>
      </w:r>
    </w:p>
    <w:p w:rsidR="00B564C3" w:rsidRPr="00F60BD5" w:rsidRDefault="00B564C3" w:rsidP="00B564C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i/>
          <w:sz w:val="22"/>
          <w:szCs w:val="22"/>
        </w:rPr>
        <w:t>St. Mary’s College of Maryland</w:t>
      </w:r>
      <w:r w:rsidRPr="00F60BD5">
        <w:rPr>
          <w:rFonts w:ascii="Arial" w:hAnsi="Arial" w:cs="Arial"/>
          <w:sz w:val="22"/>
          <w:szCs w:val="22"/>
        </w:rPr>
        <w:t xml:space="preserve"> – four credits for </w:t>
      </w:r>
      <w:r w:rsidRPr="00F60BD5">
        <w:rPr>
          <w:rFonts w:ascii="Arial" w:hAnsi="Arial" w:cs="Arial"/>
          <w:color w:val="15161B"/>
          <w:sz w:val="22"/>
          <w:szCs w:val="22"/>
        </w:rPr>
        <w:t>EDUC 140: Spec</w:t>
      </w:r>
      <w:r w:rsidRPr="00F60BD5">
        <w:rPr>
          <w:rFonts w:ascii="Arial" w:hAnsi="Arial" w:cs="Arial"/>
          <w:color w:val="2F3036"/>
          <w:sz w:val="22"/>
          <w:szCs w:val="22"/>
        </w:rPr>
        <w:t>i</w:t>
      </w:r>
      <w:r w:rsidRPr="00F60BD5">
        <w:rPr>
          <w:rFonts w:ascii="Arial" w:hAnsi="Arial" w:cs="Arial"/>
          <w:color w:val="15161B"/>
          <w:sz w:val="22"/>
          <w:szCs w:val="22"/>
        </w:rPr>
        <w:t>al Topics in Educational Studies</w:t>
      </w:r>
    </w:p>
    <w:p w:rsidR="00B564C3" w:rsidRPr="00F60BD5" w:rsidRDefault="00B564C3" w:rsidP="00B564C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i/>
          <w:sz w:val="22"/>
          <w:szCs w:val="22"/>
        </w:rPr>
        <w:t>Salisbury University</w:t>
      </w:r>
      <w:r w:rsidRPr="00F60BD5">
        <w:rPr>
          <w:rFonts w:ascii="Arial" w:hAnsi="Arial" w:cs="Arial"/>
          <w:sz w:val="22"/>
          <w:szCs w:val="22"/>
        </w:rPr>
        <w:t xml:space="preserve"> – three credits EDUC 210 School in a Diverse Society, a required pre-program course for secondary education majors </w:t>
      </w:r>
      <w:r w:rsidRPr="00F60BD5">
        <w:rPr>
          <w:rFonts w:ascii="Arial" w:hAnsi="Arial" w:cs="Arial"/>
          <w:sz w:val="22"/>
          <w:szCs w:val="22"/>
          <w:u w:val="single"/>
        </w:rPr>
        <w:t>OR</w:t>
      </w:r>
      <w:r w:rsidRPr="00F60BD5">
        <w:rPr>
          <w:rFonts w:ascii="Arial" w:hAnsi="Arial" w:cs="Arial"/>
          <w:sz w:val="22"/>
          <w:szCs w:val="22"/>
        </w:rPr>
        <w:t xml:space="preserve"> one credit as ELED 201 Introduction To Teaching plus two credits of electives for elementary and early childhood education majors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In addition, local school systems have articulation agreements with their local community colleges for various numbers of credits into teacher education programs.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b/>
          <w:sz w:val="22"/>
          <w:szCs w:val="22"/>
          <w:u w:val="single"/>
        </w:rPr>
        <w:t>Scholarships Available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Towson University</w:t>
      </w:r>
      <w:r w:rsidR="00583442">
        <w:rPr>
          <w:rFonts w:ascii="Arial" w:hAnsi="Arial" w:cs="Arial"/>
          <w:sz w:val="22"/>
          <w:szCs w:val="22"/>
        </w:rPr>
        <w:t>, Coppin State University,</w:t>
      </w:r>
      <w:r w:rsidRPr="00F60BD5">
        <w:rPr>
          <w:rFonts w:ascii="Arial" w:hAnsi="Arial" w:cs="Arial"/>
          <w:sz w:val="22"/>
          <w:szCs w:val="22"/>
        </w:rPr>
        <w:t xml:space="preserve"> and St. Mary’s College of Maryland offer a $500 scholarship per semester for TAM students who are declared education majors and meet the requirements stated by the institution.  </w:t>
      </w:r>
      <w:r>
        <w:rPr>
          <w:rFonts w:ascii="Arial" w:hAnsi="Arial" w:cs="Arial"/>
          <w:sz w:val="22"/>
          <w:szCs w:val="22"/>
        </w:rPr>
        <w:t>Financial aid is available to those who qualify at Stevenson University and Salisbury University.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b/>
          <w:sz w:val="22"/>
          <w:szCs w:val="22"/>
          <w:u w:val="single"/>
        </w:rPr>
        <w:t>Fast Facts about TAM Programs</w:t>
      </w:r>
    </w:p>
    <w:p w:rsidR="00B564C3" w:rsidRPr="00F60BD5" w:rsidRDefault="00A150F8" w:rsidP="00B564C3">
      <w:pPr>
        <w:rPr>
          <w:rFonts w:ascii="Arial" w:hAnsi="Arial" w:cs="Arial"/>
          <w:sz w:val="22"/>
          <w:szCs w:val="22"/>
        </w:rPr>
      </w:pP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4445</wp:posOffset>
                </wp:positionV>
                <wp:extent cx="2588260" cy="718820"/>
                <wp:effectExtent l="14605" t="166370" r="16891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564C3" w:rsidRDefault="00B564C3" w:rsidP="00B564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2015,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1A4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total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2,104 enrollment:</w:t>
                            </w:r>
                          </w:p>
                          <w:p w:rsidR="00B564C3" w:rsidRPr="00AC67DC" w:rsidRDefault="00B564C3" w:rsidP="00B564C3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564C3" w:rsidRDefault="00B564C3" w:rsidP="00B564C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518 Males </w:t>
                            </w:r>
                          </w:p>
                          <w:p w:rsidR="00B564C3" w:rsidRPr="001A4BC9" w:rsidRDefault="00B564C3" w:rsidP="00B564C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A4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1,691 Females.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9pt;margin-top:.35pt;width:203.8pt;height:56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">
                <o:extrusion v:ext="view" color="white" on="t"/>
                <v:textbox style="mso-fit-shape-to-text:t">
                  <w:txbxContent>
                    <w:p w:rsidR="00B564C3" w:rsidRDefault="00B564C3" w:rsidP="00B564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BC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2015,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</w:t>
                      </w:r>
                      <w:r w:rsidRPr="001A4BC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total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2,104 enrollment:</w:t>
                      </w:r>
                    </w:p>
                    <w:p w:rsidR="00B564C3" w:rsidRPr="00AC67DC" w:rsidRDefault="00B564C3" w:rsidP="00B564C3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564C3" w:rsidRDefault="00B564C3" w:rsidP="00B564C3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BC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518 Males </w:t>
                      </w:r>
                    </w:p>
                    <w:p w:rsidR="00B564C3" w:rsidRPr="001A4BC9" w:rsidRDefault="00B564C3" w:rsidP="00B564C3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A4BC9">
                        <w:rPr>
                          <w:rFonts w:ascii="Arial" w:hAnsi="Arial" w:cs="Arial"/>
                          <w:sz w:val="22"/>
                          <w:szCs w:val="22"/>
                        </w:rPr>
                        <w:t>1,691 Females.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869"/>
        <w:gridCol w:w="841"/>
        <w:gridCol w:w="900"/>
      </w:tblGrid>
      <w:tr w:rsidR="00B564C3" w:rsidRPr="00F60BD5" w:rsidTr="00807AE8">
        <w:tc>
          <w:tcPr>
            <w:tcW w:w="4410" w:type="dxa"/>
            <w:gridSpan w:val="5"/>
          </w:tcPr>
          <w:p w:rsidR="00B564C3" w:rsidRPr="00F60BD5" w:rsidRDefault="00B564C3" w:rsidP="00807A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0BD5">
              <w:rPr>
                <w:rFonts w:ascii="Arial" w:hAnsi="Arial" w:cs="Arial"/>
                <w:sz w:val="22"/>
                <w:szCs w:val="22"/>
              </w:rPr>
              <w:t>Five Year Enrollment Trend</w:t>
            </w:r>
          </w:p>
        </w:tc>
      </w:tr>
      <w:tr w:rsidR="00B564C3" w:rsidRPr="00F60BD5" w:rsidTr="00807AE8">
        <w:tc>
          <w:tcPr>
            <w:tcW w:w="900" w:type="dxa"/>
          </w:tcPr>
          <w:p w:rsidR="00B564C3" w:rsidRPr="00F60BD5" w:rsidRDefault="00B564C3" w:rsidP="00807A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60BD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B564C3" w:rsidRPr="00F60BD5" w:rsidRDefault="00B564C3" w:rsidP="00807A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60BD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69" w:type="dxa"/>
          </w:tcPr>
          <w:p w:rsidR="00B564C3" w:rsidRPr="00F60BD5" w:rsidRDefault="00B564C3" w:rsidP="00807A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60BD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B564C3" w:rsidRPr="00F60BD5" w:rsidRDefault="00B564C3" w:rsidP="00807A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60BD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B564C3" w:rsidRPr="00F60BD5" w:rsidRDefault="00B564C3" w:rsidP="00807AE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60BD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B564C3" w:rsidRPr="00F60BD5" w:rsidTr="00807AE8">
        <w:tc>
          <w:tcPr>
            <w:tcW w:w="900" w:type="dxa"/>
          </w:tcPr>
          <w:p w:rsidR="00B564C3" w:rsidRPr="00F60BD5" w:rsidRDefault="00B564C3" w:rsidP="00807A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900" w:type="dxa"/>
          </w:tcPr>
          <w:p w:rsidR="00B564C3" w:rsidRPr="00F60BD5" w:rsidRDefault="00B564C3" w:rsidP="00807A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2386</w:t>
            </w:r>
          </w:p>
        </w:tc>
        <w:tc>
          <w:tcPr>
            <w:tcW w:w="869" w:type="dxa"/>
          </w:tcPr>
          <w:p w:rsidR="00B564C3" w:rsidRPr="00F60BD5" w:rsidRDefault="00B564C3" w:rsidP="00807A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2127</w:t>
            </w:r>
          </w:p>
        </w:tc>
        <w:tc>
          <w:tcPr>
            <w:tcW w:w="841" w:type="dxa"/>
          </w:tcPr>
          <w:p w:rsidR="00B564C3" w:rsidRPr="00F60BD5" w:rsidRDefault="00B564C3" w:rsidP="00807A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2117</w:t>
            </w:r>
          </w:p>
        </w:tc>
        <w:tc>
          <w:tcPr>
            <w:tcW w:w="900" w:type="dxa"/>
          </w:tcPr>
          <w:p w:rsidR="00B564C3" w:rsidRPr="00F60BD5" w:rsidRDefault="00B564C3" w:rsidP="00807A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2104</w:t>
            </w:r>
          </w:p>
        </w:tc>
      </w:tr>
    </w:tbl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  <w:r w:rsidRPr="00F60BD5">
        <w:rPr>
          <w:rFonts w:ascii="Arial" w:hAnsi="Arial" w:cs="Arial"/>
          <w:sz w:val="22"/>
          <w:szCs w:val="22"/>
        </w:rPr>
        <w:t>In 201</w:t>
      </w:r>
      <w:r>
        <w:rPr>
          <w:rFonts w:ascii="Arial" w:hAnsi="Arial" w:cs="Arial"/>
          <w:sz w:val="22"/>
          <w:szCs w:val="22"/>
        </w:rPr>
        <w:t>5</w:t>
      </w:r>
      <w:r w:rsidRPr="00F60BD5">
        <w:rPr>
          <w:rFonts w:ascii="Arial" w:hAnsi="Arial" w:cs="Arial"/>
          <w:sz w:val="22"/>
          <w:szCs w:val="22"/>
        </w:rPr>
        <w:t>:</w:t>
      </w:r>
    </w:p>
    <w:p w:rsidR="00B564C3" w:rsidRPr="00F60BD5" w:rsidRDefault="00B564C3" w:rsidP="00B564C3">
      <w:pPr>
        <w:rPr>
          <w:rFonts w:ascii="Arial" w:hAnsi="Arial" w:cs="Arial"/>
          <w:sz w:val="22"/>
          <w:szCs w:val="22"/>
        </w:rPr>
      </w:pPr>
    </w:p>
    <w:p w:rsidR="00B564C3" w:rsidRPr="00F60BD5" w:rsidRDefault="00B564C3" w:rsidP="00B564C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gramStart"/>
      <w:r w:rsidRPr="00F60BD5">
        <w:rPr>
          <w:rFonts w:ascii="Arial" w:hAnsi="Arial" w:cs="Arial"/>
          <w:sz w:val="22"/>
          <w:szCs w:val="22"/>
        </w:rPr>
        <w:t>over</w:t>
      </w:r>
      <w:proofErr w:type="gramEnd"/>
      <w:r w:rsidRPr="00F60BD5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>0</w:t>
      </w:r>
      <w:r w:rsidRPr="00F60BD5">
        <w:rPr>
          <w:rFonts w:ascii="Arial" w:hAnsi="Arial" w:cs="Arial"/>
          <w:sz w:val="22"/>
          <w:szCs w:val="22"/>
        </w:rPr>
        <w:t xml:space="preserve">% of TAM students passed the industry-recognized credential, the </w:t>
      </w:r>
      <w:proofErr w:type="spellStart"/>
      <w:r w:rsidRPr="00F60BD5">
        <w:rPr>
          <w:rFonts w:ascii="Arial" w:hAnsi="Arial" w:cs="Arial"/>
          <w:i/>
          <w:sz w:val="22"/>
          <w:szCs w:val="22"/>
        </w:rPr>
        <w:t>ParaPro</w:t>
      </w:r>
      <w:proofErr w:type="spellEnd"/>
      <w:r w:rsidRPr="00F60BD5">
        <w:rPr>
          <w:rFonts w:ascii="Arial" w:hAnsi="Arial" w:cs="Arial"/>
          <w:sz w:val="22"/>
          <w:szCs w:val="22"/>
        </w:rPr>
        <w:t>, which was 1</w:t>
      </w:r>
      <w:r>
        <w:rPr>
          <w:rFonts w:ascii="Arial" w:hAnsi="Arial" w:cs="Arial"/>
          <w:sz w:val="22"/>
          <w:szCs w:val="22"/>
        </w:rPr>
        <w:t>1</w:t>
      </w:r>
      <w:r w:rsidRPr="00F60BD5">
        <w:rPr>
          <w:rFonts w:ascii="Arial" w:hAnsi="Arial" w:cs="Arial"/>
          <w:sz w:val="22"/>
          <w:szCs w:val="22"/>
        </w:rPr>
        <w:t>% higher than the state average for all industry credentials for all CTE programs</w:t>
      </w:r>
    </w:p>
    <w:p w:rsidR="00B564C3" w:rsidRPr="00F60BD5" w:rsidRDefault="00B564C3" w:rsidP="00B564C3">
      <w:pPr>
        <w:numPr>
          <w:ilvl w:val="0"/>
          <w:numId w:val="6"/>
        </w:numPr>
        <w:rPr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over</w:t>
      </w:r>
      <w:proofErr w:type="gramEnd"/>
      <w:r>
        <w:rPr>
          <w:rFonts w:ascii="Arial" w:hAnsi="Arial" w:cs="Arial"/>
          <w:sz w:val="22"/>
          <w:szCs w:val="22"/>
        </w:rPr>
        <w:t xml:space="preserve"> 7</w:t>
      </w:r>
      <w:r w:rsidRPr="00F60BD5">
        <w:rPr>
          <w:rFonts w:ascii="Arial" w:hAnsi="Arial" w:cs="Arial"/>
          <w:sz w:val="22"/>
          <w:szCs w:val="22"/>
        </w:rPr>
        <w:t>4% of high school students who completed the TAM program also completed the credit entrance requirements for admission to the University Syste</w:t>
      </w:r>
      <w:r>
        <w:rPr>
          <w:rFonts w:ascii="Arial" w:hAnsi="Arial" w:cs="Arial"/>
          <w:sz w:val="22"/>
          <w:szCs w:val="22"/>
        </w:rPr>
        <w:t>m of Maryland which was 13</w:t>
      </w:r>
      <w:r w:rsidRPr="00F60BD5">
        <w:rPr>
          <w:rFonts w:ascii="Arial" w:hAnsi="Arial" w:cs="Arial"/>
          <w:sz w:val="22"/>
          <w:szCs w:val="22"/>
        </w:rPr>
        <w:t>% higher than the state average for all CTE programs</w:t>
      </w:r>
    </w:p>
    <w:p w:rsidR="007A27A2" w:rsidRPr="00B564C3" w:rsidRDefault="00B564C3" w:rsidP="00B564C3">
      <w:pPr>
        <w:ind w:left="7200" w:firstLine="720"/>
        <w:rPr>
          <w:sz w:val="16"/>
          <w:szCs w:val="16"/>
        </w:rPr>
      </w:pPr>
      <w:r w:rsidRPr="00F60BD5">
        <w:rPr>
          <w:rFonts w:ascii="Arial" w:hAnsi="Arial" w:cs="Arial"/>
          <w:sz w:val="16"/>
          <w:szCs w:val="16"/>
        </w:rPr>
        <w:t xml:space="preserve">Updated </w:t>
      </w:r>
      <w:r>
        <w:rPr>
          <w:rFonts w:ascii="Arial" w:hAnsi="Arial" w:cs="Arial"/>
          <w:sz w:val="16"/>
          <w:szCs w:val="16"/>
        </w:rPr>
        <w:t xml:space="preserve">July </w:t>
      </w:r>
      <w:r w:rsidR="0084408B">
        <w:rPr>
          <w:rFonts w:ascii="Arial" w:hAnsi="Arial" w:cs="Arial"/>
          <w:sz w:val="16"/>
          <w:szCs w:val="16"/>
        </w:rPr>
        <w:t xml:space="preserve">15, </w:t>
      </w:r>
      <w:r w:rsidRPr="00F60BD5">
        <w:rPr>
          <w:rFonts w:ascii="Arial" w:hAnsi="Arial" w:cs="Arial"/>
          <w:sz w:val="16"/>
          <w:szCs w:val="16"/>
        </w:rPr>
        <w:t>2016</w:t>
      </w:r>
    </w:p>
    <w:sectPr w:rsidR="007A27A2" w:rsidRPr="00B564C3" w:rsidSect="00292281">
      <w:footerReference w:type="default" r:id="rId9"/>
      <w:headerReference w:type="first" r:id="rId10"/>
      <w:pgSz w:w="12240" w:h="15840" w:code="1"/>
      <w:pgMar w:top="1440" w:right="1152" w:bottom="72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1F" w:rsidRDefault="00273E1F">
      <w:r>
        <w:separator/>
      </w:r>
    </w:p>
  </w:endnote>
  <w:endnote w:type="continuationSeparator" w:id="0">
    <w:p w:rsidR="00273E1F" w:rsidRDefault="0027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33" w:rsidRPr="00EE54A6" w:rsidRDefault="007B2E33" w:rsidP="00EE54A6">
    <w:pPr>
      <w:pStyle w:val="Footer"/>
      <w:jc w:val="center"/>
      <w:rPr>
        <w:rFonts w:ascii="Calibri" w:hAnsi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1F" w:rsidRDefault="00273E1F">
      <w:r>
        <w:separator/>
      </w:r>
    </w:p>
  </w:footnote>
  <w:footnote w:type="continuationSeparator" w:id="0">
    <w:p w:rsidR="00273E1F" w:rsidRDefault="00273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9" w:type="dxa"/>
      <w:jc w:val="center"/>
      <w:tblLook w:val="01E0" w:firstRow="1" w:lastRow="1" w:firstColumn="1" w:lastColumn="1" w:noHBand="0" w:noVBand="0"/>
    </w:tblPr>
    <w:tblGrid>
      <w:gridCol w:w="5149"/>
      <w:gridCol w:w="5150"/>
    </w:tblGrid>
    <w:tr w:rsidR="00395D7B" w:rsidRPr="00C51630" w:rsidTr="00C97557">
      <w:trPr>
        <w:trHeight w:val="803"/>
        <w:jc w:val="center"/>
      </w:trPr>
      <w:tc>
        <w:tcPr>
          <w:tcW w:w="5149" w:type="dxa"/>
        </w:tcPr>
        <w:p w:rsidR="00395D7B" w:rsidRPr="00DB5618" w:rsidRDefault="00E30012" w:rsidP="00375675">
          <w:pPr>
            <w:pStyle w:val="Header"/>
            <w:spacing w:line="276" w:lineRule="auto"/>
            <w:rPr>
              <w:rFonts w:ascii="Calibri" w:hAnsi="Calibri"/>
              <w:sz w:val="18"/>
            </w:rPr>
          </w:pPr>
          <w:r>
            <w:rPr>
              <w:rFonts w:ascii="Calibri" w:hAnsi="Calibri"/>
              <w:noProof/>
              <w:sz w:val="18"/>
            </w:rPr>
            <w:drawing>
              <wp:inline distT="0" distB="0" distL="0" distR="0">
                <wp:extent cx="1476375" cy="733425"/>
                <wp:effectExtent l="0" t="0" r="9525" b="9525"/>
                <wp:docPr id="6" name="Picture 6" descr="C:\Users\cwells\Pictures\Microsoft Clip Organizer\MSDE_LOGO_300dpi_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wells\Pictures\Microsoft Clip Organizer\MSDE_LOGO_300dpi_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941" cy="733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0" w:type="dxa"/>
        </w:tcPr>
        <w:p w:rsidR="00395D7B" w:rsidRPr="00C51630" w:rsidRDefault="00F15EE2" w:rsidP="00D97D10">
          <w:pPr>
            <w:pStyle w:val="Header"/>
            <w:jc w:val="righ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Karen B. Salmon</w:t>
          </w:r>
          <w:r w:rsidR="00EE7CCA" w:rsidRPr="00C51630">
            <w:rPr>
              <w:rFonts w:ascii="Calibri" w:hAnsi="Calibri"/>
              <w:b/>
              <w:sz w:val="20"/>
              <w:szCs w:val="20"/>
            </w:rPr>
            <w:t>, Ph</w:t>
          </w:r>
          <w:r w:rsidR="00C75F1B" w:rsidRPr="00C51630">
            <w:rPr>
              <w:rFonts w:ascii="Calibri" w:hAnsi="Calibri"/>
              <w:b/>
              <w:sz w:val="20"/>
              <w:szCs w:val="20"/>
            </w:rPr>
            <w:t>.D.</w:t>
          </w:r>
        </w:p>
        <w:p w:rsidR="00395D7B" w:rsidRPr="00C51630" w:rsidRDefault="00395D7B" w:rsidP="00D97D10">
          <w:pPr>
            <w:pStyle w:val="Header"/>
            <w:jc w:val="right"/>
            <w:rPr>
              <w:rFonts w:ascii="Calibri" w:hAnsi="Calibri"/>
              <w:sz w:val="20"/>
              <w:szCs w:val="20"/>
            </w:rPr>
          </w:pPr>
          <w:r w:rsidRPr="00C51630">
            <w:rPr>
              <w:rFonts w:ascii="Calibri" w:hAnsi="Calibri"/>
              <w:b/>
              <w:sz w:val="20"/>
              <w:szCs w:val="20"/>
            </w:rPr>
            <w:t>State Superintendent of Schools</w:t>
          </w:r>
        </w:p>
      </w:tc>
    </w:tr>
    <w:tr w:rsidR="00395D7B" w:rsidRPr="00DB5618" w:rsidTr="00C97557">
      <w:trPr>
        <w:trHeight w:val="416"/>
        <w:jc w:val="center"/>
      </w:trPr>
      <w:tc>
        <w:tcPr>
          <w:tcW w:w="10299" w:type="dxa"/>
          <w:gridSpan w:val="2"/>
        </w:tcPr>
        <w:p w:rsidR="00395D7B" w:rsidRPr="00C51630" w:rsidRDefault="00395D7B" w:rsidP="00EE7CCA">
          <w:pPr>
            <w:pStyle w:val="Header"/>
            <w:spacing w:before="40"/>
            <w:rPr>
              <w:rFonts w:asciiTheme="minorHAnsi" w:hAnsiTheme="minorHAnsi" w:cstheme="minorHAnsi"/>
              <w:sz w:val="20"/>
              <w:szCs w:val="20"/>
            </w:rPr>
          </w:pPr>
          <w:r w:rsidRPr="00C51630">
            <w:rPr>
              <w:rFonts w:asciiTheme="minorHAnsi" w:hAnsiTheme="minorHAnsi" w:cstheme="minorHAnsi"/>
              <w:sz w:val="20"/>
              <w:szCs w:val="20"/>
            </w:rPr>
            <w:t xml:space="preserve">200 West Baltimore Street • Baltimore, MD 21201 • 410-767-0100 • 410-333-6442 TTY/TDD </w:t>
          </w:r>
          <w:r w:rsidR="00E30012" w:rsidRPr="00C51630">
            <w:rPr>
              <w:rFonts w:asciiTheme="minorHAnsi" w:hAnsiTheme="minorHAnsi" w:cstheme="minorHAnsi"/>
              <w:sz w:val="20"/>
              <w:szCs w:val="20"/>
            </w:rPr>
            <w:t xml:space="preserve">• </w:t>
          </w:r>
          <w:r w:rsidR="00EE7CCA" w:rsidRPr="00C51630">
            <w:rPr>
              <w:rFonts w:asciiTheme="minorHAnsi" w:hAnsiTheme="minorHAnsi" w:cstheme="minorHAnsi"/>
              <w:sz w:val="20"/>
              <w:szCs w:val="20"/>
            </w:rPr>
            <w:t xml:space="preserve">msde.maryland.gov </w:t>
          </w:r>
        </w:p>
      </w:tc>
    </w:tr>
  </w:tbl>
  <w:p w:rsidR="00395D7B" w:rsidRPr="00B36929" w:rsidRDefault="00395D7B" w:rsidP="00B36929">
    <w:pPr>
      <w:pStyle w:val="Header"/>
      <w:rPr>
        <w:rFonts w:ascii="Calibri" w:hAnsi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5E8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1C653A"/>
    <w:multiLevelType w:val="hybridMultilevel"/>
    <w:tmpl w:val="4D647128"/>
    <w:lvl w:ilvl="0" w:tplc="7D2C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C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4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7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8D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6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43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CE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88705F"/>
    <w:multiLevelType w:val="hybridMultilevel"/>
    <w:tmpl w:val="5A7EEA40"/>
    <w:lvl w:ilvl="0" w:tplc="35A2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08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8C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2B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40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4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C9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CE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87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D43F9C"/>
    <w:multiLevelType w:val="hybridMultilevel"/>
    <w:tmpl w:val="3E18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7308F"/>
    <w:multiLevelType w:val="hybridMultilevel"/>
    <w:tmpl w:val="195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62A26"/>
    <w:multiLevelType w:val="hybridMultilevel"/>
    <w:tmpl w:val="3CB0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E5F7E"/>
    <w:multiLevelType w:val="hybridMultilevel"/>
    <w:tmpl w:val="7EB0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60"/>
    <w:rsid w:val="0000587D"/>
    <w:rsid w:val="00016131"/>
    <w:rsid w:val="00022AEF"/>
    <w:rsid w:val="00026103"/>
    <w:rsid w:val="000359A6"/>
    <w:rsid w:val="00040958"/>
    <w:rsid w:val="00041010"/>
    <w:rsid w:val="000457DE"/>
    <w:rsid w:val="00084133"/>
    <w:rsid w:val="00084FA1"/>
    <w:rsid w:val="00094CC5"/>
    <w:rsid w:val="000A08B6"/>
    <w:rsid w:val="000A5014"/>
    <w:rsid w:val="000C1E92"/>
    <w:rsid w:val="000C6495"/>
    <w:rsid w:val="000E382A"/>
    <w:rsid w:val="000F6A92"/>
    <w:rsid w:val="001540A1"/>
    <w:rsid w:val="00167B3A"/>
    <w:rsid w:val="00195716"/>
    <w:rsid w:val="001A27E3"/>
    <w:rsid w:val="001B3725"/>
    <w:rsid w:val="001D2E3F"/>
    <w:rsid w:val="001E2982"/>
    <w:rsid w:val="00213DCE"/>
    <w:rsid w:val="0023040A"/>
    <w:rsid w:val="00230CF8"/>
    <w:rsid w:val="00257077"/>
    <w:rsid w:val="002616D9"/>
    <w:rsid w:val="00267BB0"/>
    <w:rsid w:val="00273E1F"/>
    <w:rsid w:val="00277D57"/>
    <w:rsid w:val="00292281"/>
    <w:rsid w:val="0029661D"/>
    <w:rsid w:val="002E1BA7"/>
    <w:rsid w:val="002F1C16"/>
    <w:rsid w:val="00302526"/>
    <w:rsid w:val="00316010"/>
    <w:rsid w:val="00325660"/>
    <w:rsid w:val="00340A96"/>
    <w:rsid w:val="003459AD"/>
    <w:rsid w:val="00355F0E"/>
    <w:rsid w:val="00375675"/>
    <w:rsid w:val="00391724"/>
    <w:rsid w:val="00395D7B"/>
    <w:rsid w:val="003C5876"/>
    <w:rsid w:val="003C5ACA"/>
    <w:rsid w:val="003D569F"/>
    <w:rsid w:val="0042134B"/>
    <w:rsid w:val="0042429D"/>
    <w:rsid w:val="00425534"/>
    <w:rsid w:val="0044441A"/>
    <w:rsid w:val="004548A7"/>
    <w:rsid w:val="004642E0"/>
    <w:rsid w:val="00476E0C"/>
    <w:rsid w:val="004804F8"/>
    <w:rsid w:val="00490903"/>
    <w:rsid w:val="004A20ED"/>
    <w:rsid w:val="004A5C83"/>
    <w:rsid w:val="004D66E8"/>
    <w:rsid w:val="00507ACB"/>
    <w:rsid w:val="00520DAC"/>
    <w:rsid w:val="00542418"/>
    <w:rsid w:val="00583442"/>
    <w:rsid w:val="0059001E"/>
    <w:rsid w:val="00591EC0"/>
    <w:rsid w:val="00595B56"/>
    <w:rsid w:val="005B6A40"/>
    <w:rsid w:val="005D5F3D"/>
    <w:rsid w:val="005F09A0"/>
    <w:rsid w:val="00605E67"/>
    <w:rsid w:val="00646424"/>
    <w:rsid w:val="00655AD0"/>
    <w:rsid w:val="006579A8"/>
    <w:rsid w:val="0066367B"/>
    <w:rsid w:val="006A53F2"/>
    <w:rsid w:val="006A6E2E"/>
    <w:rsid w:val="006C0E5A"/>
    <w:rsid w:val="007157C3"/>
    <w:rsid w:val="0074022A"/>
    <w:rsid w:val="00742130"/>
    <w:rsid w:val="00756DF9"/>
    <w:rsid w:val="00774632"/>
    <w:rsid w:val="00782EF2"/>
    <w:rsid w:val="007A27A2"/>
    <w:rsid w:val="007B2E33"/>
    <w:rsid w:val="007B4C08"/>
    <w:rsid w:val="007B7371"/>
    <w:rsid w:val="007C6CB8"/>
    <w:rsid w:val="00804A03"/>
    <w:rsid w:val="00806A5F"/>
    <w:rsid w:val="008113CD"/>
    <w:rsid w:val="008136E1"/>
    <w:rsid w:val="00817448"/>
    <w:rsid w:val="00827210"/>
    <w:rsid w:val="0084408B"/>
    <w:rsid w:val="00864B8A"/>
    <w:rsid w:val="00871E41"/>
    <w:rsid w:val="008732F7"/>
    <w:rsid w:val="008762B7"/>
    <w:rsid w:val="00882A7B"/>
    <w:rsid w:val="008846E9"/>
    <w:rsid w:val="008A2F58"/>
    <w:rsid w:val="008A46F9"/>
    <w:rsid w:val="008C591B"/>
    <w:rsid w:val="008D1A9B"/>
    <w:rsid w:val="008D2273"/>
    <w:rsid w:val="008E1EEC"/>
    <w:rsid w:val="008F15F8"/>
    <w:rsid w:val="008F55DD"/>
    <w:rsid w:val="008F6C36"/>
    <w:rsid w:val="00911E07"/>
    <w:rsid w:val="00913C54"/>
    <w:rsid w:val="0094367F"/>
    <w:rsid w:val="009528F5"/>
    <w:rsid w:val="00970806"/>
    <w:rsid w:val="00971CC3"/>
    <w:rsid w:val="00985DDD"/>
    <w:rsid w:val="00990A7A"/>
    <w:rsid w:val="00992A87"/>
    <w:rsid w:val="009A6C39"/>
    <w:rsid w:val="009B102E"/>
    <w:rsid w:val="009C1EA9"/>
    <w:rsid w:val="009C27E5"/>
    <w:rsid w:val="009F2BE7"/>
    <w:rsid w:val="00A11930"/>
    <w:rsid w:val="00A150F8"/>
    <w:rsid w:val="00A23804"/>
    <w:rsid w:val="00A3241D"/>
    <w:rsid w:val="00A46783"/>
    <w:rsid w:val="00A63ECC"/>
    <w:rsid w:val="00A76F89"/>
    <w:rsid w:val="00A808BA"/>
    <w:rsid w:val="00A966C4"/>
    <w:rsid w:val="00AA2D0D"/>
    <w:rsid w:val="00AB71D1"/>
    <w:rsid w:val="00AE650E"/>
    <w:rsid w:val="00AF0D78"/>
    <w:rsid w:val="00B016EC"/>
    <w:rsid w:val="00B20A11"/>
    <w:rsid w:val="00B26FE9"/>
    <w:rsid w:val="00B35AA5"/>
    <w:rsid w:val="00B35D73"/>
    <w:rsid w:val="00B36929"/>
    <w:rsid w:val="00B3740B"/>
    <w:rsid w:val="00B42C47"/>
    <w:rsid w:val="00B42D78"/>
    <w:rsid w:val="00B564C3"/>
    <w:rsid w:val="00B636ED"/>
    <w:rsid w:val="00B959C7"/>
    <w:rsid w:val="00B96DFF"/>
    <w:rsid w:val="00BA0326"/>
    <w:rsid w:val="00BA5530"/>
    <w:rsid w:val="00BD35E3"/>
    <w:rsid w:val="00C061E3"/>
    <w:rsid w:val="00C17E60"/>
    <w:rsid w:val="00C30F2C"/>
    <w:rsid w:val="00C46D44"/>
    <w:rsid w:val="00C51630"/>
    <w:rsid w:val="00C75F1B"/>
    <w:rsid w:val="00C84747"/>
    <w:rsid w:val="00C965A1"/>
    <w:rsid w:val="00C97557"/>
    <w:rsid w:val="00CA00B7"/>
    <w:rsid w:val="00CA5C97"/>
    <w:rsid w:val="00CB76B5"/>
    <w:rsid w:val="00CC69FD"/>
    <w:rsid w:val="00CD741D"/>
    <w:rsid w:val="00CE5EF6"/>
    <w:rsid w:val="00D034D4"/>
    <w:rsid w:val="00D15655"/>
    <w:rsid w:val="00D27520"/>
    <w:rsid w:val="00D46D2C"/>
    <w:rsid w:val="00D51337"/>
    <w:rsid w:val="00D63269"/>
    <w:rsid w:val="00D66A58"/>
    <w:rsid w:val="00D74ABB"/>
    <w:rsid w:val="00D76FD8"/>
    <w:rsid w:val="00D93612"/>
    <w:rsid w:val="00D97D10"/>
    <w:rsid w:val="00DB190F"/>
    <w:rsid w:val="00DC1869"/>
    <w:rsid w:val="00DC40DB"/>
    <w:rsid w:val="00DC5395"/>
    <w:rsid w:val="00DF3A66"/>
    <w:rsid w:val="00E05F49"/>
    <w:rsid w:val="00E277EC"/>
    <w:rsid w:val="00E30012"/>
    <w:rsid w:val="00E37A31"/>
    <w:rsid w:val="00E41C8A"/>
    <w:rsid w:val="00E477D8"/>
    <w:rsid w:val="00E71388"/>
    <w:rsid w:val="00E73260"/>
    <w:rsid w:val="00E9507D"/>
    <w:rsid w:val="00ED1CD9"/>
    <w:rsid w:val="00EE54A6"/>
    <w:rsid w:val="00EE7CCA"/>
    <w:rsid w:val="00F05A45"/>
    <w:rsid w:val="00F13AC9"/>
    <w:rsid w:val="00F15EE2"/>
    <w:rsid w:val="00F30307"/>
    <w:rsid w:val="00F41925"/>
    <w:rsid w:val="00F41EDD"/>
    <w:rsid w:val="00F45CC6"/>
    <w:rsid w:val="00F55097"/>
    <w:rsid w:val="00F5751D"/>
    <w:rsid w:val="00F65AAA"/>
    <w:rsid w:val="00F77D5E"/>
    <w:rsid w:val="00FA4600"/>
    <w:rsid w:val="00FA581E"/>
    <w:rsid w:val="00FB6A60"/>
    <w:rsid w:val="00FD167D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966C4"/>
    <w:pPr>
      <w:keepNext/>
      <w:jc w:val="center"/>
      <w:outlineLvl w:val="0"/>
    </w:pPr>
    <w:rPr>
      <w:rFonts w:ascii="CG Times" w:eastAsia="Arial Unicode MS" w:hAnsi="CG Times"/>
      <w:b/>
      <w:bCs/>
      <w:spacing w:val="-3"/>
      <w:kern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EE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E54A6"/>
    <w:pPr>
      <w:numPr>
        <w:numId w:val="1"/>
      </w:numPr>
    </w:pPr>
  </w:style>
  <w:style w:type="character" w:customStyle="1" w:styleId="Heading1Char">
    <w:name w:val="Heading 1 Char"/>
    <w:link w:val="Heading1"/>
    <w:rsid w:val="00A966C4"/>
    <w:rPr>
      <w:rFonts w:ascii="CG Times" w:eastAsia="Arial Unicode MS" w:hAnsi="CG Times" w:cs="Arial Unicode MS"/>
      <w:b/>
      <w:bCs/>
      <w:spacing w:val="-3"/>
      <w:kern w:val="36"/>
      <w:sz w:val="24"/>
      <w:szCs w:val="24"/>
    </w:rPr>
  </w:style>
  <w:style w:type="character" w:styleId="Hyperlink">
    <w:name w:val="Hyperlink"/>
    <w:rsid w:val="00A966C4"/>
    <w:rPr>
      <w:color w:val="0000FF"/>
      <w:u w:val="single"/>
    </w:rPr>
  </w:style>
  <w:style w:type="paragraph" w:styleId="BodyText">
    <w:name w:val="Body Text"/>
    <w:basedOn w:val="Normal"/>
    <w:link w:val="BodyTextChar"/>
    <w:rsid w:val="00A966C4"/>
    <w:pPr>
      <w:widowControl w:val="0"/>
      <w:tabs>
        <w:tab w:val="left" w:pos="-720"/>
      </w:tabs>
      <w:suppressAutoHyphens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A966C4"/>
    <w:rPr>
      <w:sz w:val="24"/>
    </w:rPr>
  </w:style>
  <w:style w:type="paragraph" w:styleId="NormalWeb">
    <w:name w:val="Normal (Web)"/>
    <w:basedOn w:val="Normal"/>
    <w:uiPriority w:val="99"/>
    <w:unhideWhenUsed/>
    <w:rsid w:val="001A27E3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213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DCE"/>
  </w:style>
  <w:style w:type="paragraph" w:styleId="CommentSubject">
    <w:name w:val="annotation subject"/>
    <w:basedOn w:val="CommentText"/>
    <w:next w:val="CommentText"/>
    <w:link w:val="CommentSubjectChar"/>
    <w:rsid w:val="00213DC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13DCE"/>
    <w:rPr>
      <w:b/>
      <w:bCs/>
    </w:rPr>
  </w:style>
  <w:style w:type="paragraph" w:styleId="BalloonText">
    <w:name w:val="Balloon Text"/>
    <w:basedOn w:val="Normal"/>
    <w:link w:val="BalloonTextChar"/>
    <w:rsid w:val="00213D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3D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22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966C4"/>
    <w:pPr>
      <w:keepNext/>
      <w:jc w:val="center"/>
      <w:outlineLvl w:val="0"/>
    </w:pPr>
    <w:rPr>
      <w:rFonts w:ascii="CG Times" w:eastAsia="Arial Unicode MS" w:hAnsi="CG Times"/>
      <w:b/>
      <w:bCs/>
      <w:spacing w:val="-3"/>
      <w:kern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EE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E54A6"/>
    <w:pPr>
      <w:numPr>
        <w:numId w:val="1"/>
      </w:numPr>
    </w:pPr>
  </w:style>
  <w:style w:type="character" w:customStyle="1" w:styleId="Heading1Char">
    <w:name w:val="Heading 1 Char"/>
    <w:link w:val="Heading1"/>
    <w:rsid w:val="00A966C4"/>
    <w:rPr>
      <w:rFonts w:ascii="CG Times" w:eastAsia="Arial Unicode MS" w:hAnsi="CG Times" w:cs="Arial Unicode MS"/>
      <w:b/>
      <w:bCs/>
      <w:spacing w:val="-3"/>
      <w:kern w:val="36"/>
      <w:sz w:val="24"/>
      <w:szCs w:val="24"/>
    </w:rPr>
  </w:style>
  <w:style w:type="character" w:styleId="Hyperlink">
    <w:name w:val="Hyperlink"/>
    <w:rsid w:val="00A966C4"/>
    <w:rPr>
      <w:color w:val="0000FF"/>
      <w:u w:val="single"/>
    </w:rPr>
  </w:style>
  <w:style w:type="paragraph" w:styleId="BodyText">
    <w:name w:val="Body Text"/>
    <w:basedOn w:val="Normal"/>
    <w:link w:val="BodyTextChar"/>
    <w:rsid w:val="00A966C4"/>
    <w:pPr>
      <w:widowControl w:val="0"/>
      <w:tabs>
        <w:tab w:val="left" w:pos="-720"/>
      </w:tabs>
      <w:suppressAutoHyphens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A966C4"/>
    <w:rPr>
      <w:sz w:val="24"/>
    </w:rPr>
  </w:style>
  <w:style w:type="paragraph" w:styleId="NormalWeb">
    <w:name w:val="Normal (Web)"/>
    <w:basedOn w:val="Normal"/>
    <w:uiPriority w:val="99"/>
    <w:unhideWhenUsed/>
    <w:rsid w:val="001A27E3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213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DCE"/>
  </w:style>
  <w:style w:type="paragraph" w:styleId="CommentSubject">
    <w:name w:val="annotation subject"/>
    <w:basedOn w:val="CommentText"/>
    <w:next w:val="CommentText"/>
    <w:link w:val="CommentSubjectChar"/>
    <w:rsid w:val="00213DC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13DCE"/>
    <w:rPr>
      <w:b/>
      <w:bCs/>
    </w:rPr>
  </w:style>
  <w:style w:type="paragraph" w:styleId="BalloonText">
    <w:name w:val="Balloon Text"/>
    <w:basedOn w:val="Normal"/>
    <w:link w:val="BalloonTextChar"/>
    <w:rsid w:val="00213D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3D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2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7B7F-9B5E-324A-97C0-7E89FD0B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                         CONTACT: William Reinhard, 410-767-0486</vt:lpstr>
    </vt:vector>
  </TitlesOfParts>
  <Company>MSDE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                         CONTACT: William Reinhard, 410-767-0486</dc:title>
  <dc:creator>hbradbury</dc:creator>
  <cp:lastModifiedBy>Amy</cp:lastModifiedBy>
  <cp:revision>2</cp:revision>
  <cp:lastPrinted>2016-07-05T16:13:00Z</cp:lastPrinted>
  <dcterms:created xsi:type="dcterms:W3CDTF">2017-09-04T16:32:00Z</dcterms:created>
  <dcterms:modified xsi:type="dcterms:W3CDTF">2017-09-04T16:32:00Z</dcterms:modified>
</cp:coreProperties>
</file>